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4E6742">
      <w:pPr>
        <w:pStyle w:val="12"/>
        <w:jc w:val="both"/>
        <w:rPr>
          <w:rFonts w:hint="default" w:ascii="宋体" w:hAnsi="宋体" w:eastAsia="宋体" w:cs="宋体"/>
          <w:b/>
          <w:bCs/>
          <w:sz w:val="32"/>
          <w:szCs w:val="40"/>
          <w:lang w:val="en-US" w:eastAsia="zh-CN"/>
        </w:rPr>
      </w:pPr>
      <w:r>
        <w:rPr>
          <w:rFonts w:hint="eastAsia" w:ascii="宋体" w:hAnsi="宋体" w:eastAsia="宋体" w:cs="宋体"/>
          <w:b/>
          <w:bCs/>
          <w:sz w:val="32"/>
          <w:szCs w:val="40"/>
          <w:lang w:val="en-US" w:eastAsia="zh-CN"/>
        </w:rPr>
        <w:t>附件1：</w:t>
      </w:r>
    </w:p>
    <w:p w14:paraId="7567549E">
      <w:pPr>
        <w:pStyle w:val="12"/>
        <w:jc w:val="center"/>
        <w:rPr>
          <w:rFonts w:hint="eastAsia" w:ascii="宋体" w:hAnsi="宋体" w:eastAsia="宋体" w:cs="宋体"/>
          <w:b/>
          <w:bCs/>
          <w:sz w:val="32"/>
          <w:szCs w:val="40"/>
          <w:lang w:val="en-US" w:eastAsia="zh-CN"/>
        </w:rPr>
      </w:pPr>
      <w:r>
        <w:rPr>
          <w:rFonts w:hint="eastAsia" w:ascii="宋体" w:hAnsi="宋体" w:eastAsia="宋体" w:cs="宋体"/>
          <w:b/>
          <w:bCs/>
          <w:sz w:val="32"/>
          <w:szCs w:val="40"/>
          <w:lang w:val="en-US" w:eastAsia="zh-CN"/>
        </w:rPr>
        <w:t>安徽城市管理职业学院就业嘉年华活动</w:t>
      </w:r>
      <w:bookmarkStart w:id="0" w:name="_GoBack"/>
      <w:bookmarkEnd w:id="0"/>
      <w:r>
        <w:rPr>
          <w:rFonts w:hint="eastAsia" w:ascii="宋体" w:hAnsi="宋体" w:eastAsia="宋体" w:cs="宋体"/>
          <w:b/>
          <w:bCs/>
          <w:sz w:val="32"/>
          <w:szCs w:val="40"/>
          <w:lang w:val="en-US" w:eastAsia="zh-CN"/>
        </w:rPr>
        <w:t>项目采购说明</w:t>
      </w:r>
    </w:p>
    <w:p w14:paraId="11327D5C">
      <w:pPr>
        <w:pStyle w:val="12"/>
        <w:jc w:val="left"/>
        <w:rPr>
          <w:rFonts w:hint="eastAsia" w:ascii="宋体" w:hAnsi="宋体" w:eastAsia="宋体" w:cs="宋体"/>
          <w:sz w:val="24"/>
          <w:szCs w:val="24"/>
        </w:rPr>
      </w:pPr>
      <w:r>
        <w:rPr>
          <w:rFonts w:hint="eastAsia" w:ascii="宋体" w:hAnsi="宋体" w:eastAsia="宋体" w:cs="宋体"/>
          <w:sz w:val="28"/>
          <w:szCs w:val="28"/>
          <w:lang w:val="en-US" w:eastAsia="zh-CN"/>
        </w:rPr>
        <w:t>一、</w:t>
      </w:r>
      <w:r>
        <w:rPr>
          <w:rFonts w:hint="eastAsia" w:ascii="宋体" w:hAnsi="宋体" w:eastAsia="宋体" w:cs="宋体"/>
          <w:sz w:val="28"/>
          <w:szCs w:val="28"/>
        </w:rPr>
        <w:t>供应商资格</w:t>
      </w:r>
    </w:p>
    <w:p w14:paraId="0538CF14">
      <w:pPr>
        <w:snapToGrid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kern w:val="0"/>
          <w:sz w:val="24"/>
          <w:szCs w:val="24"/>
        </w:rPr>
        <w:t>供应商</w:t>
      </w:r>
      <w:r>
        <w:rPr>
          <w:rFonts w:hint="eastAsia" w:ascii="宋体" w:hAnsi="宋体" w:eastAsia="宋体" w:cs="宋体"/>
          <w:b/>
          <w:bCs/>
          <w:sz w:val="24"/>
          <w:szCs w:val="24"/>
        </w:rPr>
        <w:t>须具备《中华人民共和国政府采购法》第二十二条规定的条件：</w:t>
      </w:r>
    </w:p>
    <w:p w14:paraId="640B4488">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1.1具有独立承担民事责任的能力；</w:t>
      </w:r>
    </w:p>
    <w:p w14:paraId="35951F16">
      <w:pPr>
        <w:snapToGrid w:val="0"/>
        <w:spacing w:line="360" w:lineRule="auto"/>
        <w:ind w:firstLine="480" w:firstLineChars="200"/>
        <w:rPr>
          <w:rFonts w:hint="eastAsia" w:ascii="宋体" w:hAnsi="宋体" w:eastAsia="宋体" w:cs="宋体"/>
          <w:b/>
          <w:color w:val="FF0000"/>
          <w:sz w:val="24"/>
          <w:szCs w:val="24"/>
        </w:rPr>
      </w:pPr>
      <w:r>
        <w:rPr>
          <w:rFonts w:hint="eastAsia" w:ascii="宋体" w:hAnsi="宋体" w:eastAsia="宋体" w:cs="宋体"/>
          <w:sz w:val="24"/>
          <w:szCs w:val="24"/>
        </w:rPr>
        <w:t>1.2具有良好的商业信誉和健全的财务会计制度；</w:t>
      </w:r>
    </w:p>
    <w:p w14:paraId="041AC0DC">
      <w:pPr>
        <w:snapToGrid w:val="0"/>
        <w:spacing w:line="360" w:lineRule="auto"/>
        <w:ind w:firstLine="480" w:firstLineChars="200"/>
        <w:rPr>
          <w:rFonts w:hint="eastAsia" w:ascii="宋体" w:hAnsi="宋体" w:eastAsia="宋体" w:cs="宋体"/>
          <w:b/>
          <w:color w:val="FF0000"/>
          <w:sz w:val="24"/>
          <w:szCs w:val="24"/>
        </w:rPr>
      </w:pPr>
      <w:r>
        <w:rPr>
          <w:rFonts w:hint="eastAsia" w:ascii="宋体" w:hAnsi="宋体" w:eastAsia="宋体" w:cs="宋体"/>
          <w:sz w:val="24"/>
          <w:szCs w:val="24"/>
        </w:rPr>
        <w:t>1.3具有履行合同所必需的设备和专业技术能力；</w:t>
      </w:r>
    </w:p>
    <w:p w14:paraId="4410EBAE">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1.4有依法缴纳税收和社会保障资金的良好记录；</w:t>
      </w:r>
    </w:p>
    <w:p w14:paraId="41207DA6">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1.5参加政府采购活动前三年内，在经营活动中没有重大违法记录；</w:t>
      </w:r>
    </w:p>
    <w:p w14:paraId="27E3BB28">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1.6法律、行政法规规定的其他条件。</w:t>
      </w:r>
    </w:p>
    <w:p w14:paraId="1499016D">
      <w:pPr>
        <w:snapToGrid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2、落实政府采购政策需满足的资格要求：</w:t>
      </w:r>
    </w:p>
    <w:p w14:paraId="1CC0D2E4">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2.1供应商被“信用中国”网站列入失信被执行人和重大税收违法失信主体的、被“中国政府采购网”网站列入政府采购严重违法失信行为记录名单（处罚期限尚未届满的），不得参与本项目的政府采购活动。</w:t>
      </w:r>
    </w:p>
    <w:p w14:paraId="47AEB336">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2</w:t>
      </w:r>
      <w:r>
        <w:rPr>
          <w:rFonts w:hint="eastAsia" w:ascii="宋体" w:hAnsi="宋体" w:eastAsia="宋体" w:cs="宋体"/>
          <w:sz w:val="24"/>
          <w:szCs w:val="24"/>
        </w:rPr>
        <w:t>单位负责人为同一人或者存在直接控股、管理关系的不同供应商，不得参加同一合同项下的采购活动。</w:t>
      </w:r>
    </w:p>
    <w:p w14:paraId="520C66A6">
      <w:pPr>
        <w:snapToGrid w:val="0"/>
        <w:spacing w:line="360" w:lineRule="auto"/>
        <w:ind w:firstLine="480" w:firstLineChars="200"/>
        <w:rPr>
          <w:rFonts w:hint="default" w:eastAsia="宋体"/>
          <w:lang w:val="en-US" w:eastAsia="zh-CN"/>
        </w:rPr>
      </w:pPr>
      <w:r>
        <w:rPr>
          <w:rFonts w:hint="eastAsia" w:ascii="宋体" w:hAnsi="宋体" w:eastAsia="宋体" w:cs="宋体"/>
          <w:sz w:val="24"/>
          <w:szCs w:val="24"/>
          <w:lang w:val="en-US" w:eastAsia="zh-CN"/>
        </w:rPr>
        <w:t>2.3</w:t>
      </w:r>
      <w:r>
        <w:rPr>
          <w:rFonts w:hint="eastAsia" w:ascii="宋体" w:hAnsi="宋体" w:eastAsia="宋体" w:cs="宋体"/>
          <w:sz w:val="24"/>
          <w:szCs w:val="24"/>
        </w:rPr>
        <w:t>为采购项目提供整体设计、规范编制或者项目管理、监理、检测等服务的供应商不得参加该采购项目的采购活动。</w:t>
      </w:r>
      <w:r>
        <w:rPr>
          <w:rFonts w:hint="eastAsia" w:ascii="宋体" w:hAnsi="宋体" w:eastAsia="宋体" w:cs="宋体"/>
          <w:sz w:val="24"/>
          <w:szCs w:val="24"/>
        </w:rPr>
        <w:br w:type="textWrapping"/>
      </w:r>
      <w:r>
        <w:rPr>
          <w:rFonts w:hint="eastAsia" w:ascii="宋体" w:hAnsi="宋体" w:eastAsia="宋体" w:cs="宋体"/>
          <w:sz w:val="24"/>
          <w:szCs w:val="24"/>
          <w:lang w:val="en-US" w:eastAsia="zh-CN"/>
        </w:rPr>
        <w:t xml:space="preserve">   2.4本项目非仅面向中小企业采购。</w:t>
      </w:r>
    </w:p>
    <w:p w14:paraId="79D57F32">
      <w:pPr>
        <w:snapToGrid w:val="0"/>
        <w:spacing w:line="360" w:lineRule="auto"/>
        <w:ind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rPr>
        <w:t>3、本项目的特定资格要求：</w:t>
      </w:r>
    </w:p>
    <w:p w14:paraId="1C04E104">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3.1为了保障学生数据安全，投标人不得有任何形式的外资背景（包括外籍员工）,须满足《外商投资准入特别管理措施（负面清单）》中规定。</w:t>
      </w:r>
    </w:p>
    <w:p w14:paraId="2D1A0F2B">
      <w:pPr>
        <w:pStyle w:val="16"/>
        <w:rPr>
          <w:rFonts w:hint="eastAsia" w:ascii="宋体" w:hAnsi="宋体" w:eastAsia="宋体" w:cs="宋体"/>
          <w:sz w:val="24"/>
          <w:szCs w:val="24"/>
        </w:rPr>
      </w:pPr>
      <w:r>
        <w:rPr>
          <w:rFonts w:hint="eastAsia" w:ascii="宋体" w:hAnsi="宋体" w:eastAsia="宋体" w:cs="宋体"/>
          <w:kern w:val="0"/>
          <w:sz w:val="24"/>
          <w:szCs w:val="24"/>
        </w:rPr>
        <w:t>3.2本项目不接受联合体报名。</w:t>
      </w:r>
    </w:p>
    <w:p w14:paraId="3B369F74">
      <w:pPr>
        <w:pStyle w:val="18"/>
        <w:keepNext w:val="0"/>
        <w:keepLines w:val="0"/>
        <w:pageBreakBefore w:val="0"/>
        <w:widowControl/>
        <w:numPr>
          <w:ilvl w:val="0"/>
          <w:numId w:val="0"/>
        </w:numPr>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b/>
          <w:bCs/>
          <w:kern w:val="2"/>
          <w:sz w:val="28"/>
          <w:szCs w:val="28"/>
          <w:lang w:val="en-US" w:eastAsia="zh-CN" w:bidi="ar-SA"/>
        </w:rPr>
        <w:t>二、技术服务要求</w:t>
      </w:r>
      <w:r>
        <w:rPr>
          <w:rFonts w:hint="eastAsia" w:ascii="宋体" w:hAnsi="宋体" w:eastAsia="宋体" w:cs="宋体"/>
          <w:b/>
          <w:bCs/>
          <w:sz w:val="24"/>
          <w:szCs w:val="24"/>
        </w:rPr>
        <w:br w:type="textWrapping"/>
      </w:r>
      <w:r>
        <w:rPr>
          <w:rFonts w:hint="eastAsia" w:ascii="宋体" w:hAnsi="宋体" w:eastAsia="宋体" w:cs="宋体"/>
          <w:b/>
          <w:bCs/>
          <w:sz w:val="24"/>
          <w:szCs w:val="24"/>
          <w:lang w:val="en-US" w:eastAsia="zh-CN"/>
        </w:rPr>
        <w:t xml:space="preserve">    </w:t>
      </w:r>
      <w:r>
        <w:rPr>
          <w:rFonts w:hint="eastAsia" w:ascii="宋体" w:hAnsi="宋体" w:eastAsia="宋体" w:cs="宋体"/>
          <w:sz w:val="24"/>
          <w:szCs w:val="24"/>
          <w:lang w:val="en-US" w:eastAsia="zh-CN"/>
        </w:rPr>
        <w:t>1.活动场次：1场（实际举办时间以采购单位通知为准）</w:t>
      </w:r>
    </w:p>
    <w:p w14:paraId="18029C07">
      <w:pPr>
        <w:pStyle w:val="18"/>
        <w:keepNext w:val="0"/>
        <w:keepLines w:val="0"/>
        <w:pageBreakBefore w:val="0"/>
        <w:widowControl/>
        <w:kinsoku/>
        <w:wordWrap/>
        <w:overflowPunct/>
        <w:topLinePunct w:val="0"/>
        <w:autoSpaceDE/>
        <w:autoSpaceDN/>
        <w:bidi w:val="0"/>
        <w:adjustRightInd/>
        <w:snapToGrid/>
        <w:spacing w:line="46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2.活动内容：（1）就业嘉年华活动时长1天，不少于3小时；（2）开设AI赋能专区，包括：AI简历诊断、AI面试、AI生涯规划认知探索、就业资讯服务、线上就业指导课程等。</w:t>
      </w:r>
    </w:p>
    <w:p w14:paraId="26214D20">
      <w:pPr>
        <w:pStyle w:val="18"/>
        <w:keepNext w:val="0"/>
        <w:keepLines w:val="0"/>
        <w:pageBreakBefore w:val="0"/>
        <w:widowControl/>
        <w:kinsoku/>
        <w:wordWrap/>
        <w:overflowPunct/>
        <w:topLinePunct w:val="0"/>
        <w:autoSpaceDE/>
        <w:autoSpaceDN/>
        <w:bidi w:val="0"/>
        <w:adjustRightInd/>
        <w:snapToGrid/>
        <w:spacing w:line="460" w:lineRule="exact"/>
        <w:ind w:left="479" w:leftChars="228" w:firstLine="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3.供应商需提供完整的单场活动策划方案，包含活动策划执行方案、活动</w:t>
      </w:r>
    </w:p>
    <w:p w14:paraId="4CE39B4E">
      <w:pPr>
        <w:pStyle w:val="18"/>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通知、活动手册、应急预案等。</w:t>
      </w:r>
    </w:p>
    <w:p w14:paraId="66EBCFD3">
      <w:pPr>
        <w:pStyle w:val="18"/>
        <w:keepNext w:val="0"/>
        <w:keepLines w:val="0"/>
        <w:pageBreakBefore w:val="0"/>
        <w:widowControl/>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color w:val="333333"/>
          <w:sz w:val="24"/>
          <w:szCs w:val="24"/>
          <w:lang w:val="en-US" w:eastAsia="zh-CN"/>
        </w:rPr>
        <w:t>.单场活动中供应商需</w:t>
      </w:r>
      <w:r>
        <w:rPr>
          <w:rFonts w:hint="eastAsia" w:ascii="宋体" w:hAnsi="宋体" w:eastAsia="宋体" w:cs="宋体"/>
          <w:sz w:val="24"/>
          <w:szCs w:val="24"/>
          <w:lang w:val="en-US" w:eastAsia="zh-CN"/>
        </w:rPr>
        <w:t>提供完整</w:t>
      </w:r>
      <w:r>
        <w:rPr>
          <w:rFonts w:hint="eastAsia" w:ascii="宋体" w:hAnsi="宋体" w:eastAsia="宋体" w:cs="宋体"/>
          <w:sz w:val="24"/>
          <w:szCs w:val="24"/>
        </w:rPr>
        <w:t>的活动视觉设计、活动关卡设计、活动内</w:t>
      </w:r>
      <w:r>
        <w:rPr>
          <w:rFonts w:hint="eastAsia" w:ascii="宋体" w:hAnsi="宋体" w:eastAsia="宋体" w:cs="宋体"/>
          <w:sz w:val="24"/>
          <w:szCs w:val="24"/>
          <w:highlight w:val="none"/>
        </w:rPr>
        <w:t>容设计、活动道具、展架等设计</w:t>
      </w:r>
      <w:r>
        <w:rPr>
          <w:rFonts w:hint="eastAsia" w:ascii="宋体" w:hAnsi="宋体" w:eastAsia="宋体" w:cs="宋体"/>
          <w:sz w:val="24"/>
          <w:szCs w:val="24"/>
          <w:highlight w:val="none"/>
          <w:lang w:val="en-US" w:eastAsia="zh-CN"/>
        </w:rPr>
        <w:t>方案</w:t>
      </w:r>
      <w:r>
        <w:rPr>
          <w:rFonts w:hint="eastAsia" w:ascii="宋体" w:hAnsi="宋体" w:eastAsia="宋体" w:cs="宋体"/>
          <w:sz w:val="24"/>
          <w:szCs w:val="24"/>
          <w:highlight w:val="none"/>
        </w:rPr>
        <w:t>。</w:t>
      </w:r>
    </w:p>
    <w:p w14:paraId="77814BB3">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就业嘉年华实施环节</w:t>
      </w:r>
      <w:r>
        <w:rPr>
          <w:rFonts w:hint="eastAsia" w:ascii="宋体" w:hAnsi="宋体" w:eastAsia="宋体" w:cs="宋体"/>
          <w:sz w:val="24"/>
          <w:szCs w:val="24"/>
          <w:highlight w:val="none"/>
          <w:lang w:eastAsia="zh-CN"/>
        </w:rPr>
        <w:t>需</w:t>
      </w:r>
      <w:r>
        <w:rPr>
          <w:rFonts w:hint="eastAsia" w:ascii="宋体" w:hAnsi="宋体" w:eastAsia="宋体" w:cs="宋体"/>
          <w:sz w:val="24"/>
          <w:szCs w:val="24"/>
          <w:highlight w:val="none"/>
          <w:lang w:val="en-US" w:eastAsia="zh-CN"/>
        </w:rPr>
        <w:t>包含：意识唤醒、自我探索、生涯规划、职业探索、就业准备、向梦想前行、能力充电区、礼品大放送等模块，不少于10个沉浸式活动，让学生学习职业生涯规划与就业相关的知识，合理规划大学生活，做好向职场人转变的准备。</w:t>
      </w:r>
    </w:p>
    <w:p w14:paraId="71108582">
      <w:pPr>
        <w:keepNext w:val="0"/>
        <w:keepLines w:val="0"/>
        <w:pageBreakBefore w:val="0"/>
        <w:kinsoku/>
        <w:wordWrap/>
        <w:overflowPunct/>
        <w:topLinePunct w:val="0"/>
        <w:autoSpaceDE/>
        <w:autoSpaceDN/>
        <w:bidi w:val="0"/>
        <w:adjustRightInd/>
        <w:snapToGrid/>
        <w:spacing w:line="460" w:lineRule="exact"/>
        <w:ind w:left="0" w:leftChars="0" w:firstLine="482" w:firstLineChars="200"/>
        <w:textAlignment w:val="auto"/>
        <w:rPr>
          <w:rFonts w:hint="default" w:ascii="宋体" w:hAnsi="宋体" w:eastAsia="宋体" w:cs="宋体"/>
          <w:sz w:val="24"/>
          <w:szCs w:val="24"/>
          <w:lang w:val="en-US" w:eastAsia="zh-CN"/>
        </w:rPr>
      </w:pPr>
      <w:r>
        <w:rPr>
          <w:rFonts w:hint="eastAsia" w:ascii="宋体" w:hAnsi="宋体" w:eastAsia="宋体" w:cs="宋体"/>
          <w:b/>
          <w:bCs w:val="0"/>
          <w:sz w:val="24"/>
          <w:szCs w:val="24"/>
          <w:highlight w:val="none"/>
          <w:lang w:val="en-US" w:eastAsia="zh-CN"/>
        </w:rPr>
        <w:t>●6</w:t>
      </w:r>
      <w:r>
        <w:rPr>
          <w:rFonts w:hint="eastAsia" w:ascii="宋体" w:hAnsi="宋体" w:eastAsia="宋体" w:cs="宋体"/>
          <w:sz w:val="24"/>
          <w:szCs w:val="24"/>
          <w:lang w:val="en-US" w:eastAsia="zh-CN"/>
        </w:rPr>
        <w:t>.单场活动期间，供应商需搭建AI赋能专区，给参与的学生提供自研AI简历工具帮助学生优化简历、进行岗位面试题预测、offer选择、职场权益援助等服务，提升学生就业能力；提供自研AI生涯规划工具，支持给学生提供AI在线咨询师、职业探索、行业百科服务，助力提升岗位和行业认知。每位参与活动的学生在完成该环节后，能在手机端实时收到测评结果一份(手机版)；自研AI面试工具，支持参与的学生可选择不少于250 个岗位的招聘</w:t>
      </w:r>
      <w:r>
        <w:rPr>
          <w:rFonts w:hint="default" w:ascii="宋体" w:hAnsi="宋体" w:eastAsia="宋体" w:cs="宋体"/>
          <w:sz w:val="24"/>
          <w:szCs w:val="24"/>
          <w:lang w:val="en-US" w:eastAsia="zh-CN"/>
        </w:rPr>
        <w:t>JD</w:t>
      </w:r>
      <w:r>
        <w:rPr>
          <w:rFonts w:hint="eastAsia" w:ascii="宋体" w:hAnsi="宋体" w:eastAsia="宋体" w:cs="宋体"/>
          <w:sz w:val="24"/>
          <w:szCs w:val="24"/>
          <w:lang w:val="en-US" w:eastAsia="zh-CN"/>
        </w:rPr>
        <w:t>与解读；自研就业服务平台支持提供不少于7万条职位讯息、不少于200个含就业锦囊、毕业季热点资讯、就业专家高端访谈、学长学姐经验干货等就业短视频、不少于</w:t>
      </w:r>
      <w:r>
        <w:rPr>
          <w:rFonts w:hint="default" w:ascii="宋体" w:hAnsi="宋体" w:eastAsia="宋体" w:cs="宋体"/>
          <w:sz w:val="24"/>
          <w:szCs w:val="24"/>
          <w:lang w:val="en-US" w:eastAsia="zh-CN"/>
        </w:rPr>
        <w:t>4000+</w:t>
      </w:r>
      <w:r>
        <w:rPr>
          <w:rFonts w:hint="eastAsia" w:ascii="宋体" w:hAnsi="宋体" w:eastAsia="宋体" w:cs="宋体"/>
          <w:sz w:val="24"/>
          <w:szCs w:val="24"/>
          <w:lang w:val="en-US" w:eastAsia="zh-CN"/>
        </w:rPr>
        <w:t>含</w:t>
      </w:r>
      <w:r>
        <w:rPr>
          <w:rFonts w:hint="default" w:ascii="宋体" w:hAnsi="宋体" w:eastAsia="宋体" w:cs="宋体"/>
          <w:sz w:val="24"/>
          <w:szCs w:val="24"/>
          <w:lang w:val="en-US" w:eastAsia="zh-CN"/>
        </w:rPr>
        <w:t>就业指导、职业考试、考证提升、职场成长等几大大板块的</w:t>
      </w:r>
      <w:r>
        <w:rPr>
          <w:rFonts w:hint="eastAsia" w:ascii="宋体" w:hAnsi="宋体" w:eastAsia="宋体" w:cs="宋体"/>
          <w:sz w:val="24"/>
          <w:szCs w:val="24"/>
          <w:lang w:val="en-US" w:eastAsia="zh-CN"/>
        </w:rPr>
        <w:t>在线课程；自研生源信息展示平台，支持查找招聘职位、招聘公司等信息，支持进行在线沟通与简历投递。</w:t>
      </w:r>
    </w:p>
    <w:p w14:paraId="65BFF88D">
      <w:pPr>
        <w:keepNext w:val="0"/>
        <w:keepLines w:val="0"/>
        <w:pageBreakBefore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7.单场活动期间，供应商需提供不少于2位的就业赋能导师，进行现场流程组织协调及全程跟进和就业咨询技能教师场专项讲座的顺利进行。</w:t>
      </w:r>
    </w:p>
    <w:p w14:paraId="1AA66E68">
      <w:pPr>
        <w:keepNext w:val="0"/>
        <w:keepLines w:val="0"/>
        <w:pageBreakBefore w:val="0"/>
        <w:kinsoku/>
        <w:wordWrap/>
        <w:overflowPunct/>
        <w:topLinePunct w:val="0"/>
        <w:autoSpaceDE/>
        <w:autoSpaceDN/>
        <w:bidi w:val="0"/>
        <w:adjustRightInd/>
        <w:snapToGrid/>
        <w:spacing w:line="460" w:lineRule="exact"/>
        <w:ind w:left="0" w:leftChars="0" w:firstLine="480" w:firstLineChars="200"/>
        <w:textAlignment w:val="auto"/>
        <w:rPr>
          <w:rFonts w:hint="default" w:ascii="宋体" w:hAnsi="宋体" w:eastAsia="宋体" w:cs="宋体"/>
          <w:sz w:val="24"/>
          <w:szCs w:val="24"/>
          <w:highlight w:val="green"/>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8.单场活动后15天内，支持</w:t>
      </w:r>
      <w:r>
        <w:rPr>
          <w:rFonts w:hint="eastAsia" w:ascii="宋体" w:hAnsi="宋体" w:eastAsia="宋体" w:cs="宋体"/>
          <w:sz w:val="24"/>
          <w:szCs w:val="24"/>
          <w:lang w:val="en-US" w:eastAsia="zh-CN"/>
        </w:rPr>
        <w:t xml:space="preserve">生成一份活动报告，报告内容包括但不限于活动效果概览、生涯发展状况概览、学生满意度调查、学生生涯准备度分析等，并从不同维度分析，给学校提供专业解决方案，为学校后期学生生涯及就业工作提供理论依据及数据支撑。 </w:t>
      </w:r>
    </w:p>
    <w:p w14:paraId="1C562FD7">
      <w:pPr>
        <w:keepNext w:val="0"/>
        <w:keepLines w:val="0"/>
        <w:pageBreakBefore w:val="0"/>
        <w:kinsoku/>
        <w:wordWrap/>
        <w:overflowPunct/>
        <w:topLinePunct w:val="0"/>
        <w:bidi w:val="0"/>
        <w:spacing w:line="360" w:lineRule="auto"/>
        <w:ind w:left="0" w:leftChars="0" w:firstLine="482" w:firstLineChars="200"/>
        <w:textAlignment w:val="auto"/>
        <w:rPr>
          <w:rFonts w:hint="eastAsia" w:ascii="宋体" w:hAnsi="宋体" w:eastAsia="宋体" w:cs="宋体"/>
          <w:sz w:val="24"/>
          <w:szCs w:val="24"/>
          <w:highlight w:val="none"/>
          <w:lang w:val="en-US"/>
        </w:rPr>
      </w:pPr>
      <w:r>
        <w:rPr>
          <w:rFonts w:hint="eastAsia" w:ascii="宋体" w:hAnsi="宋体" w:eastAsia="宋体" w:cs="宋体"/>
          <w:b/>
          <w:bCs w:val="0"/>
          <w:sz w:val="24"/>
          <w:szCs w:val="24"/>
          <w:highlight w:val="none"/>
        </w:rPr>
        <w:t>注：以上加*的技术参数、指标为重要参数指标，</w:t>
      </w:r>
      <w:r>
        <w:rPr>
          <w:rFonts w:hint="eastAsia" w:ascii="宋体" w:hAnsi="宋体" w:eastAsia="宋体" w:cs="宋体"/>
          <w:b/>
          <w:bCs w:val="0"/>
          <w:sz w:val="24"/>
          <w:szCs w:val="24"/>
          <w:highlight w:val="none"/>
          <w:lang w:val="en-US" w:eastAsia="zh-CN"/>
        </w:rPr>
        <w:t>供应商应提供相关技术佐证材料（文字或图片等），供应商</w:t>
      </w:r>
      <w:r>
        <w:rPr>
          <w:rFonts w:hint="eastAsia" w:ascii="宋体" w:hAnsi="宋体" w:eastAsia="宋体" w:cs="宋体"/>
          <w:b/>
          <w:bCs w:val="0"/>
          <w:sz w:val="24"/>
          <w:szCs w:val="24"/>
          <w:highlight w:val="none"/>
        </w:rPr>
        <w:t>投标内容低于招标文件要求的其投标无效</w:t>
      </w:r>
      <w:r>
        <w:rPr>
          <w:rFonts w:hint="eastAsia" w:ascii="宋体" w:hAnsi="宋体" w:eastAsia="宋体" w:cs="宋体"/>
          <w:b/>
          <w:bCs w:val="0"/>
          <w:sz w:val="24"/>
          <w:szCs w:val="24"/>
          <w:highlight w:val="none"/>
          <w:lang w:eastAsia="zh-CN"/>
        </w:rPr>
        <w:t>，</w:t>
      </w:r>
      <w:r>
        <w:rPr>
          <w:rFonts w:hint="eastAsia" w:ascii="宋体" w:hAnsi="宋体" w:eastAsia="宋体" w:cs="宋体"/>
          <w:b/>
          <w:bCs w:val="0"/>
          <w:sz w:val="24"/>
          <w:szCs w:val="24"/>
          <w:highlight w:val="none"/>
          <w:lang w:val="en-US" w:eastAsia="zh-CN"/>
        </w:rPr>
        <w:t>不得虚假应答；竞价结束后预成交供应商须在2个工作日内对技术要求中带“●”的内容进行现场演示，经项目部门确认无误后，方可确认成交。未按要求提供的，视为无效投标，顺延至下一预成交供应商。（以此类推）</w:t>
      </w:r>
    </w:p>
    <w:p w14:paraId="4C13D854">
      <w:pPr>
        <w:pStyle w:val="17"/>
        <w:keepNext w:val="0"/>
        <w:keepLines w:val="0"/>
        <w:pageBreakBefore w:val="0"/>
        <w:widowControl w:val="0"/>
        <w:numPr>
          <w:ilvl w:val="0"/>
          <w:numId w:val="0"/>
        </w:numPr>
        <w:kinsoku/>
        <w:wordWrap/>
        <w:overflowPunct/>
        <w:topLinePunct w:val="0"/>
        <w:bidi w:val="0"/>
        <w:snapToGrid/>
        <w:spacing w:line="440" w:lineRule="exact"/>
        <w:rPr>
          <w:rFonts w:hint="eastAsia" w:ascii="宋体" w:hAnsi="宋体" w:eastAsia="宋体" w:cs="宋体"/>
          <w:b/>
          <w:bCs w:val="0"/>
          <w:sz w:val="28"/>
          <w:szCs w:val="28"/>
          <w:lang w:val="en-US" w:eastAsia="zh-CN"/>
        </w:rPr>
      </w:pPr>
    </w:p>
    <w:p w14:paraId="07685580">
      <w:pPr>
        <w:pStyle w:val="17"/>
        <w:keepNext w:val="0"/>
        <w:keepLines w:val="0"/>
        <w:pageBreakBefore w:val="0"/>
        <w:widowControl w:val="0"/>
        <w:numPr>
          <w:ilvl w:val="0"/>
          <w:numId w:val="0"/>
        </w:numPr>
        <w:kinsoku/>
        <w:wordWrap/>
        <w:overflowPunct/>
        <w:topLinePunct w:val="0"/>
        <w:bidi w:val="0"/>
        <w:snapToGrid/>
        <w:spacing w:line="440" w:lineRule="exact"/>
        <w:rPr>
          <w:rFonts w:hint="eastAsia" w:ascii="宋体" w:hAnsi="宋体" w:eastAsia="宋体" w:cs="宋体"/>
          <w:b/>
          <w:bCs w:val="0"/>
          <w:sz w:val="28"/>
          <w:szCs w:val="28"/>
          <w:lang w:val="en-US" w:eastAsia="zh-CN"/>
        </w:rPr>
      </w:pPr>
    </w:p>
    <w:p w14:paraId="75D662C7">
      <w:pPr>
        <w:pStyle w:val="17"/>
        <w:keepNext w:val="0"/>
        <w:keepLines w:val="0"/>
        <w:pageBreakBefore w:val="0"/>
        <w:widowControl w:val="0"/>
        <w:numPr>
          <w:ilvl w:val="0"/>
          <w:numId w:val="0"/>
        </w:numPr>
        <w:kinsoku/>
        <w:wordWrap/>
        <w:overflowPunct/>
        <w:topLinePunct w:val="0"/>
        <w:bidi w:val="0"/>
        <w:snapToGrid/>
        <w:spacing w:line="440" w:lineRule="exact"/>
        <w:rPr>
          <w:rFonts w:hint="eastAsia" w:ascii="宋体" w:hAnsi="宋体" w:eastAsia="宋体" w:cs="宋体"/>
          <w:b/>
          <w:bCs w:val="0"/>
          <w:sz w:val="28"/>
          <w:szCs w:val="28"/>
        </w:rPr>
      </w:pPr>
      <w:r>
        <w:rPr>
          <w:rFonts w:hint="eastAsia" w:ascii="宋体" w:hAnsi="宋体" w:eastAsia="宋体" w:cs="宋体"/>
          <w:b/>
          <w:bCs w:val="0"/>
          <w:sz w:val="28"/>
          <w:szCs w:val="28"/>
          <w:lang w:val="en-US" w:eastAsia="zh-CN"/>
        </w:rPr>
        <w:t>三、服务</w:t>
      </w:r>
      <w:r>
        <w:rPr>
          <w:rFonts w:hint="eastAsia" w:ascii="宋体" w:hAnsi="宋体" w:eastAsia="宋体" w:cs="宋体"/>
          <w:b/>
          <w:bCs w:val="0"/>
          <w:sz w:val="28"/>
          <w:szCs w:val="28"/>
        </w:rPr>
        <w:t>要求</w:t>
      </w:r>
      <w:r>
        <w:rPr>
          <w:rFonts w:hint="eastAsia" w:ascii="宋体" w:hAnsi="宋体" w:eastAsia="宋体" w:cs="宋体"/>
          <w:b/>
          <w:bCs w:val="0"/>
          <w:sz w:val="28"/>
          <w:szCs w:val="28"/>
        </w:rPr>
        <w:br w:type="textWrapping"/>
      </w:r>
    </w:p>
    <w:p w14:paraId="329A5D16">
      <w:pPr>
        <w:numPr>
          <w:ilvl w:val="0"/>
          <w:numId w:val="1"/>
        </w:numPr>
        <w:bidi w:val="0"/>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预成交供应商需具有有效期内的信息安全管理体系、信息技术服务管理体系、质量管理体系、环境管理体系、职业健康安全管理体系认证证书、人力资源服务许可证、ICP证书。</w:t>
      </w:r>
    </w:p>
    <w:p w14:paraId="2DD4D41F">
      <w:pPr>
        <w:numPr>
          <w:ilvl w:val="0"/>
          <w:numId w:val="1"/>
        </w:numPr>
        <w:bidi w:val="0"/>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预成交供应商具有与服务内容</w:t>
      </w:r>
      <w:r>
        <w:rPr>
          <w:rFonts w:hint="eastAsia" w:ascii="宋体" w:hAnsi="宋体" w:eastAsia="宋体" w:cs="宋体"/>
          <w:sz w:val="24"/>
          <w:szCs w:val="24"/>
          <w:lang w:val="en-US" w:eastAsia="en-US"/>
        </w:rPr>
        <w:t>相关的软件著作权登记证书。</w:t>
      </w:r>
    </w:p>
    <w:p w14:paraId="0FA88022">
      <w:pPr>
        <w:numPr>
          <w:ilvl w:val="0"/>
          <w:numId w:val="1"/>
        </w:numPr>
        <w:bidi w:val="0"/>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预成交供应商具有由公安机关备案的信息系统安全等级保护三级及以上证书。</w:t>
      </w:r>
    </w:p>
    <w:p w14:paraId="1182849F">
      <w:pPr>
        <w:numPr>
          <w:ilvl w:val="0"/>
          <w:numId w:val="1"/>
        </w:numPr>
        <w:bidi w:val="0"/>
        <w:spacing w:line="360" w:lineRule="auto"/>
        <w:ind w:firstLine="480" w:firstLineChars="200"/>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预成交供应商</w:t>
      </w:r>
      <w:r>
        <w:rPr>
          <w:rFonts w:hint="eastAsia" w:ascii="宋体" w:hAnsi="宋体" w:eastAsia="宋体" w:cs="宋体"/>
          <w:b w:val="0"/>
          <w:bCs w:val="0"/>
          <w:sz w:val="24"/>
          <w:szCs w:val="24"/>
          <w:lang w:val="en-US" w:eastAsia="zh-CN"/>
        </w:rPr>
        <w:t>具有类似项目合作院校案例合同复印件5份。</w:t>
      </w:r>
    </w:p>
    <w:p w14:paraId="463AF73B">
      <w:pPr>
        <w:numPr>
          <w:ilvl w:val="0"/>
          <w:numId w:val="1"/>
        </w:numPr>
        <w:bidi w:val="0"/>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预成交供应商在项目所属省份设立的服务机构的房屋产权证或租房合同协议、服务团队人员名单及近6个月中供应商为其缴纳的任意2个月的社保证明。</w:t>
      </w:r>
    </w:p>
    <w:p w14:paraId="728B9FAB">
      <w:pPr>
        <w:numPr>
          <w:ilvl w:val="0"/>
          <w:numId w:val="1"/>
        </w:numPr>
        <w:bidi w:val="0"/>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成交供应商的项目执行团队可提供人员清单及相关证书，证书需包含：高级系统分析师（人力资源和社会保障局颁发）、高级数据库管理工程师证书（工业和信息化部教育与考试中心颁发）、数据库系统工程师证书（国家人力资源和社会保障部、工业和信息化部联合颁发）、高级PHP互联网工程师证书（工业和信息化部教育与考试中心颁发）、高级软件测试技术证书、PMP、高级职业生涯规划师、教育部直接颁发的专家聘书。</w:t>
      </w:r>
    </w:p>
    <w:p w14:paraId="17BDDCCB">
      <w:pPr>
        <w:numPr>
          <w:ilvl w:val="0"/>
          <w:numId w:val="1"/>
        </w:numPr>
        <w:bidi w:val="0"/>
        <w:spacing w:line="360" w:lineRule="auto"/>
        <w:ind w:firstLine="480" w:firstLineChars="200"/>
        <w:rPr>
          <w:rFonts w:hint="eastAsia" w:ascii="宋体" w:hAnsi="宋体" w:eastAsia="宋体" w:cs="宋体"/>
          <w:b w:val="0"/>
          <w:bCs w:val="0"/>
          <w:sz w:val="24"/>
          <w:szCs w:val="24"/>
          <w:highlight w:val="none"/>
          <w:lang w:eastAsia="zh-CN"/>
          <w:woUserID w:val="1"/>
        </w:rPr>
      </w:pPr>
      <w:r>
        <w:rPr>
          <w:rFonts w:hint="eastAsia" w:ascii="宋体" w:hAnsi="宋体" w:eastAsia="宋体" w:cs="宋体"/>
          <w:sz w:val="24"/>
          <w:szCs w:val="24"/>
          <w:lang w:val="en-US" w:eastAsia="zh-CN"/>
        </w:rPr>
        <w:t>预成交供应商具有线上、线下就业类赛事活动、就业指导活动、就业指导讲座的执行经验，且累计执行场次超过100场；需包含985/211院校的院校，提供名单、图片或链接。</w:t>
      </w:r>
    </w:p>
    <w:p w14:paraId="00AE1B52">
      <w:pPr>
        <w:numPr>
          <w:ilvl w:val="0"/>
          <w:numId w:val="1"/>
        </w:numPr>
        <w:bidi w:val="0"/>
        <w:spacing w:line="360" w:lineRule="auto"/>
        <w:ind w:firstLine="480" w:firstLineChars="200"/>
        <w:rPr>
          <w:rFonts w:hint="eastAsia" w:ascii="宋体" w:hAnsi="宋体" w:eastAsia="宋体" w:cs="宋体"/>
          <w:b w:val="0"/>
          <w:bCs w:val="0"/>
          <w:sz w:val="24"/>
          <w:szCs w:val="24"/>
          <w:highlight w:val="none"/>
          <w:lang w:eastAsia="zh-CN"/>
          <w:woUserID w:val="1"/>
        </w:rPr>
      </w:pPr>
      <w:r>
        <w:rPr>
          <w:rFonts w:hint="eastAsia" w:ascii="宋体" w:hAnsi="宋体" w:eastAsia="宋体" w:cs="宋体"/>
          <w:sz w:val="24"/>
          <w:szCs w:val="24"/>
          <w:lang w:val="en-US" w:eastAsia="zh-CN"/>
        </w:rPr>
        <w:t>预成交供应商需有被教育部等官方媒体或传统媒体报道，提供截图或链接资料。</w:t>
      </w:r>
    </w:p>
    <w:p w14:paraId="3D3665F8">
      <w:pPr>
        <w:numPr>
          <w:ilvl w:val="0"/>
          <w:numId w:val="1"/>
        </w:numPr>
        <w:bidi w:val="0"/>
        <w:spacing w:line="360" w:lineRule="auto"/>
        <w:ind w:firstLine="480" w:firstLineChars="200"/>
        <w:rPr>
          <w:rFonts w:hint="eastAsia"/>
          <w:lang w:val="en-US" w:eastAsia="zh-CN"/>
        </w:rPr>
      </w:pPr>
      <w:r>
        <w:rPr>
          <w:rFonts w:hint="eastAsia" w:ascii="宋体" w:hAnsi="宋体" w:eastAsia="宋体" w:cs="宋体"/>
          <w:sz w:val="24"/>
          <w:szCs w:val="24"/>
          <w:lang w:val="en-US" w:eastAsia="zh-CN"/>
        </w:rPr>
        <w:t>预成交</w:t>
      </w:r>
      <w:r>
        <w:rPr>
          <w:rFonts w:hint="eastAsia" w:ascii="宋体" w:hAnsi="宋体" w:eastAsia="宋体" w:cs="宋体"/>
          <w:b w:val="0"/>
          <w:bCs w:val="0"/>
          <w:sz w:val="24"/>
          <w:szCs w:val="24"/>
          <w:highlight w:val="none"/>
          <w:lang w:eastAsia="zh"/>
          <w:woUserID w:val="1"/>
        </w:rPr>
        <w:t>供应商需具备承接教育部关于毕业生就业育人项目2个领域以上的执行能力</w:t>
      </w:r>
      <w:r>
        <w:rPr>
          <w:rFonts w:hint="eastAsia" w:ascii="宋体" w:hAnsi="宋体" w:eastAsia="宋体" w:cs="宋体"/>
          <w:b w:val="0"/>
          <w:bCs w:val="0"/>
          <w:sz w:val="24"/>
          <w:szCs w:val="24"/>
          <w:highlight w:val="none"/>
          <w:lang w:eastAsia="zh-CN"/>
          <w:woUserID w:val="1"/>
        </w:rPr>
        <w:t>，</w:t>
      </w:r>
      <w:r>
        <w:rPr>
          <w:rFonts w:hint="eastAsia" w:ascii="宋体" w:hAnsi="宋体" w:eastAsia="宋体" w:cs="宋体"/>
          <w:b w:val="0"/>
          <w:bCs w:val="0"/>
          <w:sz w:val="24"/>
          <w:szCs w:val="24"/>
          <w:highlight w:val="none"/>
          <w:lang w:val="en-US" w:eastAsia="zh-CN"/>
          <w:woUserID w:val="1"/>
        </w:rPr>
        <w:t>提供教育部就业育人项目官方平台项目承接官网截图。</w:t>
      </w:r>
    </w:p>
    <w:p w14:paraId="1CBFF2C6">
      <w:pPr>
        <w:pStyle w:val="2"/>
        <w:rPr>
          <w:rFonts w:hint="eastAsia" w:ascii="宋体" w:hAnsi="宋体" w:eastAsia="宋体" w:cs="宋体"/>
          <w:b w:val="0"/>
          <w:bCs w:val="0"/>
          <w:sz w:val="24"/>
          <w:szCs w:val="24"/>
          <w:highlight w:val="none"/>
          <w:lang w:val="en-US" w:eastAsia="zh-CN"/>
          <w:woUserID w:val="1"/>
        </w:rPr>
      </w:pPr>
    </w:p>
    <w:p w14:paraId="6E33726A">
      <w:pPr>
        <w:rPr>
          <w:rFonts w:hint="eastAsia" w:ascii="宋体" w:hAnsi="宋体" w:eastAsia="宋体" w:cs="宋体"/>
          <w:b w:val="0"/>
          <w:bCs w:val="0"/>
          <w:sz w:val="24"/>
          <w:szCs w:val="24"/>
          <w:highlight w:val="none"/>
          <w:lang w:val="en-US" w:eastAsia="zh-CN"/>
          <w:woUserID w:val="1"/>
        </w:rPr>
      </w:pPr>
    </w:p>
    <w:p w14:paraId="5461A2D0">
      <w:pPr>
        <w:rPr>
          <w:rFonts w:hint="eastAsia" w:ascii="宋体" w:hAnsi="宋体" w:eastAsia="宋体" w:cs="宋体"/>
          <w:b w:val="0"/>
          <w:bCs w:val="0"/>
          <w:sz w:val="24"/>
          <w:szCs w:val="24"/>
          <w:highlight w:val="none"/>
          <w:lang w:val="en-US" w:eastAsia="zh-CN"/>
          <w:woUserID w:val="1"/>
        </w:rPr>
      </w:pPr>
    </w:p>
    <w:p w14:paraId="49E216BA">
      <w:pPr>
        <w:pStyle w:val="12"/>
        <w:jc w:val="both"/>
        <w:rPr>
          <w:rFonts w:hint="eastAsia" w:ascii="宋体" w:hAnsi="宋体" w:eastAsia="宋体" w:cs="宋体"/>
          <w:b/>
          <w:bCs/>
          <w:sz w:val="32"/>
          <w:szCs w:val="40"/>
          <w:lang w:val="en-US" w:eastAsia="zh-CN"/>
        </w:rPr>
      </w:pPr>
      <w:r>
        <w:rPr>
          <w:rFonts w:hint="eastAsia" w:ascii="宋体" w:hAnsi="宋体" w:eastAsia="宋体" w:cs="宋体"/>
          <w:b/>
          <w:bCs/>
          <w:sz w:val="32"/>
          <w:szCs w:val="40"/>
          <w:lang w:val="en-US" w:eastAsia="zh-CN"/>
        </w:rPr>
        <w:t>附件2：</w:t>
      </w:r>
    </w:p>
    <w:p w14:paraId="14BFC528">
      <w:pPr>
        <w:jc w:val="center"/>
        <w:rPr>
          <w:rFonts w:hint="eastAsia" w:ascii="宋体" w:hAnsi="宋体" w:cs="宋体"/>
          <w:b/>
          <w:bCs/>
          <w:i w:val="0"/>
          <w:iCs w:val="0"/>
          <w:caps w:val="0"/>
          <w:color w:val="000000"/>
          <w:spacing w:val="0"/>
          <w:kern w:val="0"/>
          <w:sz w:val="28"/>
          <w:szCs w:val="28"/>
          <w:shd w:val="clear" w:color="auto" w:fill="FFFFFF"/>
          <w:lang w:val="en-US" w:eastAsia="zh-CN" w:bidi="ar"/>
        </w:rPr>
      </w:pPr>
      <w:r>
        <w:rPr>
          <w:rFonts w:hint="eastAsia" w:ascii="宋体" w:hAnsi="宋体" w:cs="宋体"/>
          <w:b/>
          <w:bCs/>
          <w:i w:val="0"/>
          <w:iCs w:val="0"/>
          <w:caps w:val="0"/>
          <w:color w:val="000000"/>
          <w:spacing w:val="0"/>
          <w:kern w:val="0"/>
          <w:sz w:val="28"/>
          <w:szCs w:val="28"/>
          <w:shd w:val="clear" w:color="auto" w:fill="FFFFFF"/>
          <w:lang w:val="en-US" w:eastAsia="zh-CN" w:bidi="ar"/>
        </w:rPr>
        <w:t>安徽城市管理职业学院就业嘉年华活动项目报价单</w:t>
      </w:r>
    </w:p>
    <w:tbl>
      <w:tblPr>
        <w:tblStyle w:val="13"/>
        <w:tblpPr w:leftFromText="180" w:rightFromText="180" w:vertAnchor="text" w:horzAnchor="page" w:tblpX="1280" w:tblpY="49"/>
        <w:tblOverlap w:val="never"/>
        <w:tblW w:w="869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0"/>
        <w:gridCol w:w="1329"/>
        <w:gridCol w:w="3877"/>
        <w:gridCol w:w="1021"/>
        <w:gridCol w:w="1900"/>
      </w:tblGrid>
      <w:tr w14:paraId="58317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570" w:type="dxa"/>
            <w:tcBorders>
              <w:top w:val="single" w:color="000000" w:sz="4" w:space="0"/>
              <w:left w:val="single" w:color="000000" w:sz="4" w:space="0"/>
              <w:bottom w:val="single" w:color="000000" w:sz="4" w:space="0"/>
              <w:right w:val="single" w:color="000000" w:sz="4" w:space="0"/>
            </w:tcBorders>
            <w:noWrap/>
            <w:vAlign w:val="center"/>
          </w:tcPr>
          <w:p w14:paraId="6BF05A9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329" w:type="dxa"/>
            <w:tcBorders>
              <w:top w:val="single" w:color="000000" w:sz="4" w:space="0"/>
              <w:left w:val="single" w:color="000000" w:sz="4" w:space="0"/>
              <w:bottom w:val="single" w:color="000000" w:sz="4" w:space="0"/>
              <w:right w:val="single" w:color="000000" w:sz="4" w:space="0"/>
            </w:tcBorders>
            <w:noWrap/>
            <w:vAlign w:val="center"/>
          </w:tcPr>
          <w:p w14:paraId="5672B11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3877" w:type="dxa"/>
            <w:tcBorders>
              <w:top w:val="single" w:color="000000" w:sz="4" w:space="0"/>
              <w:left w:val="single" w:color="000000" w:sz="4" w:space="0"/>
              <w:bottom w:val="single" w:color="000000" w:sz="4" w:space="0"/>
              <w:right w:val="single" w:color="000000" w:sz="4" w:space="0"/>
            </w:tcBorders>
            <w:noWrap/>
            <w:vAlign w:val="center"/>
          </w:tcPr>
          <w:p w14:paraId="38350FD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参数要求</w:t>
            </w:r>
          </w:p>
        </w:tc>
        <w:tc>
          <w:tcPr>
            <w:tcW w:w="1021" w:type="dxa"/>
            <w:tcBorders>
              <w:top w:val="single" w:color="000000" w:sz="4" w:space="0"/>
              <w:left w:val="single" w:color="000000" w:sz="4" w:space="0"/>
              <w:bottom w:val="single" w:color="000000" w:sz="4" w:space="0"/>
              <w:right w:val="single" w:color="000000" w:sz="4" w:space="0"/>
            </w:tcBorders>
            <w:noWrap/>
            <w:vAlign w:val="center"/>
          </w:tcPr>
          <w:p w14:paraId="51468C6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900" w:type="dxa"/>
            <w:tcBorders>
              <w:top w:val="single" w:color="000000" w:sz="4" w:space="0"/>
              <w:left w:val="single" w:color="000000" w:sz="4" w:space="0"/>
              <w:bottom w:val="single" w:color="000000" w:sz="4" w:space="0"/>
              <w:right w:val="single" w:color="000000" w:sz="4" w:space="0"/>
            </w:tcBorders>
            <w:noWrap/>
            <w:vAlign w:val="center"/>
          </w:tcPr>
          <w:p w14:paraId="78387624">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单价（元）</w:t>
            </w:r>
          </w:p>
        </w:tc>
      </w:tr>
      <w:tr w14:paraId="0BFBE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3" w:hRule="atLeast"/>
        </w:trPr>
        <w:tc>
          <w:tcPr>
            <w:tcW w:w="570" w:type="dxa"/>
            <w:tcBorders>
              <w:top w:val="single" w:color="000000" w:sz="4" w:space="0"/>
              <w:left w:val="single" w:color="000000" w:sz="4" w:space="0"/>
              <w:bottom w:val="single" w:color="000000" w:sz="4" w:space="0"/>
              <w:right w:val="single" w:color="000000" w:sz="4" w:space="0"/>
            </w:tcBorders>
            <w:noWrap/>
            <w:vAlign w:val="center"/>
          </w:tcPr>
          <w:p w14:paraId="41B0F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29" w:type="dxa"/>
            <w:tcBorders>
              <w:top w:val="single" w:color="000000" w:sz="4" w:space="0"/>
              <w:left w:val="single" w:color="000000" w:sz="4" w:space="0"/>
              <w:bottom w:val="single" w:color="auto" w:sz="4" w:space="0"/>
              <w:right w:val="single" w:color="000000" w:sz="4" w:space="0"/>
            </w:tcBorders>
            <w:noWrap w:val="0"/>
            <w:vAlign w:val="center"/>
          </w:tcPr>
          <w:p w14:paraId="58A0255C">
            <w:pPr>
              <w:keepNext w:val="0"/>
              <w:keepLines w:val="0"/>
              <w:suppressLineNumbers w:val="0"/>
              <w:spacing w:before="0" w:beforeAutospacing="0" w:after="0" w:afterAutospacing="0"/>
              <w:ind w:left="0" w:right="0"/>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sz w:val="24"/>
                <w:szCs w:val="24"/>
                <w:vertAlign w:val="baseline"/>
                <w:lang w:val="en-US" w:eastAsia="zh-CN"/>
              </w:rPr>
              <w:t>安徽城市管理职业学院就业嘉年华活动项目</w:t>
            </w:r>
          </w:p>
        </w:tc>
        <w:tc>
          <w:tcPr>
            <w:tcW w:w="3877" w:type="dxa"/>
            <w:tcBorders>
              <w:top w:val="single" w:color="000000" w:sz="4" w:space="0"/>
              <w:left w:val="single" w:color="000000" w:sz="4" w:space="0"/>
              <w:bottom w:val="single" w:color="auto" w:sz="4" w:space="0"/>
              <w:right w:val="single" w:color="000000" w:sz="4" w:space="0"/>
            </w:tcBorders>
            <w:noWrap w:val="0"/>
            <w:vAlign w:val="center"/>
          </w:tcPr>
          <w:p w14:paraId="5966FD1C">
            <w:pPr>
              <w:pStyle w:val="18"/>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见附件1</w:t>
            </w:r>
          </w:p>
          <w:p w14:paraId="6DF3A2B9">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center"/>
              <w:rPr>
                <w:i w:val="0"/>
                <w:iCs w:val="0"/>
                <w:caps w:val="0"/>
                <w:color w:val="333333"/>
                <w:spacing w:val="0"/>
                <w:sz w:val="21"/>
                <w:szCs w:val="21"/>
              </w:rPr>
            </w:pPr>
          </w:p>
          <w:p w14:paraId="0C03E7F6">
            <w:pPr>
              <w:jc w:val="both"/>
              <w:rPr>
                <w:rFonts w:hint="eastAsia" w:ascii="宋体" w:hAnsi="宋体" w:eastAsia="宋体" w:cs="宋体"/>
                <w:i w:val="0"/>
                <w:iCs w:val="0"/>
                <w:color w:val="000000"/>
                <w:sz w:val="20"/>
                <w:szCs w:val="20"/>
                <w:u w:val="none"/>
              </w:rPr>
            </w:pPr>
          </w:p>
        </w:tc>
        <w:tc>
          <w:tcPr>
            <w:tcW w:w="1021" w:type="dxa"/>
            <w:tcBorders>
              <w:top w:val="single" w:color="000000" w:sz="4" w:space="0"/>
              <w:left w:val="single" w:color="000000" w:sz="4" w:space="0"/>
              <w:bottom w:val="single" w:color="000000" w:sz="4" w:space="0"/>
              <w:right w:val="single" w:color="000000" w:sz="4" w:space="0"/>
            </w:tcBorders>
            <w:noWrap/>
            <w:vAlign w:val="center"/>
          </w:tcPr>
          <w:p w14:paraId="39F04059">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1900" w:type="dxa"/>
            <w:tcBorders>
              <w:top w:val="single" w:color="000000" w:sz="4" w:space="0"/>
              <w:left w:val="single" w:color="000000" w:sz="4" w:space="0"/>
              <w:bottom w:val="single" w:color="000000" w:sz="4" w:space="0"/>
              <w:right w:val="single" w:color="000000" w:sz="4" w:space="0"/>
            </w:tcBorders>
            <w:noWrap/>
            <w:vAlign w:val="center"/>
          </w:tcPr>
          <w:p w14:paraId="6A0A8C11">
            <w:pPr>
              <w:jc w:val="center"/>
              <w:rPr>
                <w:rFonts w:hint="default" w:ascii="宋体" w:hAnsi="宋体" w:eastAsia="宋体" w:cs="宋体"/>
                <w:i w:val="0"/>
                <w:iCs w:val="0"/>
                <w:color w:val="000000"/>
                <w:sz w:val="20"/>
                <w:szCs w:val="20"/>
                <w:u w:val="none"/>
                <w:lang w:val="en-US" w:eastAsia="zh-CN"/>
              </w:rPr>
            </w:pPr>
          </w:p>
        </w:tc>
      </w:tr>
      <w:tr w14:paraId="3FDCA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899" w:type="dxa"/>
            <w:gridSpan w:val="2"/>
            <w:tcBorders>
              <w:top w:val="single" w:color="000000" w:sz="4" w:space="0"/>
              <w:left w:val="single" w:color="000000" w:sz="4" w:space="0"/>
              <w:bottom w:val="single" w:color="000000" w:sz="4" w:space="0"/>
              <w:right w:val="single" w:color="auto" w:sz="4" w:space="0"/>
            </w:tcBorders>
            <w:noWrap/>
            <w:vAlign w:val="center"/>
          </w:tcPr>
          <w:p w14:paraId="55493A0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总报价</w:t>
            </w:r>
          </w:p>
        </w:tc>
        <w:tc>
          <w:tcPr>
            <w:tcW w:w="6798" w:type="dxa"/>
            <w:gridSpan w:val="3"/>
            <w:tcBorders>
              <w:top w:val="single" w:color="auto" w:sz="4" w:space="0"/>
              <w:left w:val="single" w:color="auto" w:sz="4" w:space="0"/>
              <w:bottom w:val="single" w:color="auto" w:sz="4" w:space="0"/>
              <w:right w:val="single" w:color="000000" w:sz="4" w:space="0"/>
            </w:tcBorders>
            <w:noWrap w:val="0"/>
            <w:vAlign w:val="center"/>
          </w:tcPr>
          <w:p w14:paraId="36FEF41D">
            <w:pPr>
              <w:jc w:val="both"/>
              <w:rPr>
                <w:rFonts w:hint="default" w:ascii="宋体" w:hAnsi="宋体" w:eastAsia="宋体" w:cs="宋体"/>
                <w:i w:val="0"/>
                <w:iCs w:val="0"/>
                <w:color w:val="000000"/>
                <w:sz w:val="20"/>
                <w:szCs w:val="20"/>
                <w:u w:val="none"/>
                <w:lang w:val="en-US" w:eastAsia="zh-CN"/>
              </w:rPr>
            </w:pPr>
            <w:r>
              <w:rPr>
                <w:rFonts w:hint="eastAsia" w:ascii="仿宋" w:hAnsi="仿宋" w:eastAsia="仿宋" w:cs="仿宋_GB2312"/>
                <w:color w:val="000000" w:themeColor="text1"/>
                <w:kern w:val="0"/>
                <w:sz w:val="24"/>
                <w:szCs w:val="24"/>
                <w14:textFill>
                  <w14:solidFill>
                    <w14:schemeClr w14:val="tx1"/>
                  </w14:solidFill>
                </w14:textFill>
              </w:rPr>
              <w:t xml:space="preserve">大写： </w:t>
            </w:r>
            <w:r>
              <w:rPr>
                <w:rFonts w:ascii="仿宋" w:hAnsi="仿宋" w:eastAsia="仿宋" w:cs="仿宋_GB2312"/>
                <w:color w:val="000000" w:themeColor="text1"/>
                <w:kern w:val="0"/>
                <w:sz w:val="24"/>
                <w:szCs w:val="24"/>
                <w14:textFill>
                  <w14:solidFill>
                    <w14:schemeClr w14:val="tx1"/>
                  </w14:solidFill>
                </w14:textFill>
              </w:rPr>
              <w:t xml:space="preserve">                       </w:t>
            </w:r>
            <w:r>
              <w:rPr>
                <w:rFonts w:hint="eastAsia" w:ascii="仿宋" w:hAnsi="仿宋" w:eastAsia="仿宋" w:cs="仿宋_GB2312"/>
                <w:color w:val="000000" w:themeColor="text1"/>
                <w:kern w:val="0"/>
                <w:sz w:val="24"/>
                <w:szCs w:val="24"/>
                <w14:textFill>
                  <w14:solidFill>
                    <w14:schemeClr w14:val="tx1"/>
                  </w14:solidFill>
                </w14:textFill>
              </w:rPr>
              <w:t xml:space="preserve">   小写：</w:t>
            </w:r>
            <w:r>
              <w:rPr>
                <w:rFonts w:hint="eastAsia" w:ascii="宋体" w:hAnsi="宋体" w:cs="宋体"/>
                <w:b/>
                <w:color w:val="000000" w:themeColor="text1"/>
                <w:sz w:val="18"/>
                <w:szCs w:val="21"/>
                <w14:textFill>
                  <w14:solidFill>
                    <w14:schemeClr w14:val="tx1"/>
                  </w14:solidFill>
                </w14:textFill>
              </w:rPr>
              <w:t>¥</w:t>
            </w:r>
          </w:p>
        </w:tc>
      </w:tr>
    </w:tbl>
    <w:p w14:paraId="6E3E0363">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本单位承诺，本次报价真实有效，本表传真、扫描件、PDF文件同原件具有相同效力。</w:t>
      </w:r>
    </w:p>
    <w:p w14:paraId="797C367A">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Noto Sans CJK JP Regular">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auto"/>
    <w:pitch w:val="default"/>
    <w:sig w:usb0="00000000" w:usb1="00000000" w:usb2="0000003F" w:usb3="00000000" w:csb0="603F01FF" w:csb1="FFFF0000"/>
  </w:font>
  <w:font w:name="MicrosoftYaHei">
    <w:altName w:val="宋体"/>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973642"/>
    <w:multiLevelType w:val="singleLevel"/>
    <w:tmpl w:val="BE97364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774E9F"/>
    <w:rsid w:val="0818748C"/>
    <w:rsid w:val="37FE717E"/>
    <w:rsid w:val="3EE5525A"/>
    <w:rsid w:val="433D5D6F"/>
    <w:rsid w:val="58CD7C9E"/>
    <w:rsid w:val="5BDE713A"/>
    <w:rsid w:val="73BEB3E4"/>
    <w:rsid w:val="77AE0C95"/>
    <w:rsid w:val="77AF91EF"/>
    <w:rsid w:val="7D1518E1"/>
    <w:rsid w:val="7F7FAAB0"/>
    <w:rsid w:val="BFBD58E7"/>
    <w:rsid w:val="FABDBB2D"/>
    <w:rsid w:val="FD4F6189"/>
    <w:rsid w:val="FEB686CC"/>
    <w:rsid w:val="FF774E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ind w:left="0" w:right="0"/>
      <w:jc w:val="both"/>
      <w:outlineLvl w:val="1"/>
    </w:pPr>
    <w:rPr>
      <w:rFonts w:ascii="Cambria" w:hAnsi="Cambria"/>
      <w:b/>
      <w:bCs/>
      <w:sz w:val="32"/>
      <w:szCs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5">
    <w:name w:val="Default Paragraph Font"/>
    <w:semiHidden/>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99"/>
    <w:rPr>
      <w:rFonts w:ascii="Noto Sans CJK JP Regular" w:hAnsi="Noto Sans CJK JP Regular" w:cs="Noto Sans CJK JP Regular"/>
      <w:sz w:val="24"/>
      <w:szCs w:val="24"/>
    </w:rPr>
  </w:style>
  <w:style w:type="paragraph" w:customStyle="1" w:styleId="6">
    <w:name w:val="Default"/>
    <w:next w:val="7"/>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7">
    <w:name w:val="Char Char10 Char Char Char Char"/>
    <w:basedOn w:val="1"/>
    <w:next w:val="8"/>
    <w:qFormat/>
    <w:uiPriority w:val="0"/>
  </w:style>
  <w:style w:type="paragraph" w:customStyle="1" w:styleId="8">
    <w:name w:val="xl87"/>
    <w:basedOn w:val="1"/>
    <w:next w:val="9"/>
    <w:qFormat/>
    <w:uiPriority w:val="0"/>
    <w:pPr>
      <w:shd w:val="clear" w:color="FFFFFF" w:fill="FFFFFF"/>
      <w:spacing w:before="280" w:after="280"/>
      <w:jc w:val="right"/>
    </w:pPr>
    <w:rPr>
      <w:rFonts w:ascii="宋体"/>
      <w:sz w:val="24"/>
    </w:rPr>
  </w:style>
  <w:style w:type="paragraph" w:customStyle="1" w:styleId="9">
    <w:name w:val="xl72"/>
    <w:basedOn w:val="1"/>
    <w:next w:val="10"/>
    <w:qFormat/>
    <w:uiPriority w:val="0"/>
    <w:pPr>
      <w:shd w:val="clear" w:color="FFFFFF" w:fill="FFFFFF"/>
      <w:spacing w:before="280" w:after="280"/>
      <w:jc w:val="right"/>
    </w:pPr>
    <w:rPr>
      <w:rFonts w:ascii="宋体"/>
      <w:sz w:val="24"/>
    </w:rPr>
  </w:style>
  <w:style w:type="paragraph" w:styleId="10">
    <w:name w:val="Date"/>
    <w:basedOn w:val="1"/>
    <w:next w:val="1"/>
    <w:qFormat/>
    <w:uiPriority w:val="99"/>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Title"/>
    <w:basedOn w:val="1"/>
    <w:next w:val="1"/>
    <w:qFormat/>
    <w:uiPriority w:val="0"/>
    <w:pPr>
      <w:spacing w:line="360" w:lineRule="auto"/>
      <w:jc w:val="center"/>
      <w:outlineLvl w:val="0"/>
    </w:pPr>
    <w:rPr>
      <w:rFonts w:ascii="Cambria" w:hAnsi="Cambria"/>
      <w:b/>
      <w:bCs/>
      <w:sz w:val="36"/>
      <w:szCs w:val="32"/>
    </w:rPr>
  </w:style>
  <w:style w:type="table" w:styleId="1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customStyle="1" w:styleId="16">
    <w:name w:val="段"/>
    <w:basedOn w:val="1"/>
    <w:next w:val="1"/>
    <w:qFormat/>
    <w:uiPriority w:val="0"/>
    <w:pPr>
      <w:widowControl/>
      <w:autoSpaceDE w:val="0"/>
      <w:autoSpaceDN w:val="0"/>
      <w:adjustRightInd w:val="0"/>
      <w:snapToGrid w:val="0"/>
      <w:spacing w:line="360" w:lineRule="auto"/>
      <w:ind w:firstLine="200" w:firstLineChars="200"/>
    </w:pPr>
    <w:rPr>
      <w:rFonts w:ascii="宋体"/>
      <w:kern w:val="0"/>
      <w:sz w:val="24"/>
      <w:szCs w:val="24"/>
    </w:rPr>
  </w:style>
  <w:style w:type="paragraph" w:customStyle="1" w:styleId="17">
    <w:name w:val="表格文字"/>
    <w:basedOn w:val="1"/>
    <w:qFormat/>
    <w:uiPriority w:val="0"/>
    <w:pPr>
      <w:spacing w:before="25" w:after="25"/>
      <w:jc w:val="left"/>
    </w:pPr>
    <w:rPr>
      <w:bCs/>
      <w:spacing w:val="10"/>
      <w:kern w:val="0"/>
    </w:rPr>
  </w:style>
  <w:style w:type="paragraph" w:customStyle="1" w:styleId="18">
    <w:name w:val="石墨文档正文"/>
    <w:qFormat/>
    <w:uiPriority w:val="0"/>
    <w:rPr>
      <w:rFonts w:ascii="Arial Unicode MS" w:hAnsi="Arial Unicode MS" w:eastAsia="MicrosoftYaHei" w:cs="Arial Unicode MS"/>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2093</Words>
  <Characters>2167</Characters>
  <Lines>0</Lines>
  <Paragraphs>0</Paragraphs>
  <TotalTime>1</TotalTime>
  <ScaleCrop>false</ScaleCrop>
  <LinksUpToDate>false</LinksUpToDate>
  <CharactersWithSpaces>2176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2025-03-28T13:55:00Z</dcterms:created>
  <dc:creator>就业桥</dc:creator>
  <cp:lastModifiedBy>何</cp:lastModifiedBy>
  <dcterms:modified xsi:type="dcterms:W3CDTF">2025-11-27T00:47:50Z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278072363CA046309280AE540DCA9D44_13</vt:lpwstr>
  </property>
  <property fmtid="{D5CDD505-2E9C-101B-9397-08002B2CF9AE}" pid="4" name="KSOTemplateDocerSaveRecord">
    <vt:lpwstr>eyJoZGlkIjoiY2MyYzgwMWI2OWNhN2Y1ODFiY2IwN2FlOGRlNGRkOTEiLCJ1c2VySWQiOiIzMTYyODg1ODQifQ==</vt:lpwstr>
  </property>
</Properties>
</file>